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28 vom 30. Oktober 2013</w:t>
      </w:r>
    </w:p>
    <w:p>
      <w:r>
        <w:t>GR Gerichte, 2013-10-30, DE</w:t>
      </w:r>
    </w:p>
    <w:p>
      <w:r>
        <w:rPr>
          <w:b/>
        </w:rPr>
        <w:t xml:space="preserve">Quelle: </w:t>
      </w:r>
      <w:r>
        <w:t>https://mcp.opencaselaw.ch/entscheid/gr_gerichte_SK1 2013 28</w:t>
      </w:r>
    </w:p>
    <w:p>
      <w:r>
        <w:t>FR: GR_GERICHTE SK1 2013 28 du 30 octobre 2013</w:t>
      </w:r>
    </w:p>
    <w:p>
      <w:r>
        <w:t>IT: GR_GERICHTE SK1 2013 28 del 30 ottobre 2013</w:t>
      </w:r>
    </w:p>
    <w:p>
      <w:pPr>
        <w:pStyle w:val="Heading2"/>
      </w:pPr>
      <w:r>
        <w:t>Regeste</w:t>
      </w:r>
    </w:p>
    <w:p>
      <w:r>
        <w:t>fahrlässige Körperverletzung und Verletzung von Verkehrsregeln | StGB 111-136 Leib und Leben</w:t>
      </w:r>
    </w:p>
    <w:p>
      <w:pPr>
        <w:pStyle w:val="Heading2"/>
      </w:pPr>
      <w:r>
        <w:t>Erwägungen</w:t>
      </w:r>
    </w:p>
    <w:p>
      <w:r>
        <w:rPr>
          <w:b/>
        </w:rPr>
        <w:t>E. 1</w:t>
      </w:r>
    </w:p>
    <w:p>
      <w:r>
        <w:t>SVG in Aussicht. F. Daraufhin erhob die Staatsanwaltschaft Graubünden mit Anklageschrift vom</w:t>
      </w:r>
    </w:p>
    <w:p>
      <w:r>
        <w:rPr>
          <w:b/>
        </w:rPr>
        <w:t>E. 1.4</w:t>
      </w:r>
    </w:p>
    <w:p>
      <w:r>
        <w:t>Sekunden eine Strecke von 26.7 - 31 m zurück. Der Bremsweg betrug 54.9 m ([22.2 m/s] ² / [2 x 4.5 m/s²]); der Anhalteweg, der sich aus dem Bremsweg und der während der Reaktions- und Bremsschwellzeit zurückgelegten Wegstrecke berechnet, macht somit rund 81.6 - 85.9 m aus. Berücksichtigt man nun, dass der Berufungskläger über ein Fahrzeug neueren Datums verfügt (gemäss Anklage- schrift einen Volvo S XC90) und geht man entsprechend von einer Verzögerung von 5.5 m/s² (Anlehnung an die Auswertung durch Erich Peter, Strassenverkehrs- und Schiffahrtsamt St. Gallen, ca. 1985 - 1995) aus, resultiert ein Anhalteweg von rund 71.6 - 75.9 m. Damit zeigen alle Rechnungsresultate deutlich, dass der Beru- fungskläger sein Fahrzeug hätte innerhalb der Strecke von 100 m zum Stillstand bringen können; dabei wäre nicht einmal berücksichtigt, dass Y._____ während der Anhaltezeit, welche der Berufungskläger bis zum Stillstand benötigte, selbst mit 20 - 30 km/h unterwegs war und eine entsprechende Strecke von circa 25 m - 37.5 m zurücklegte (bei der Annahme einer Anhaltezeit von rund 4.5 Sekunden; siehe vorgenanntes Beispiel anhand des Berechnungsmodelles des Strassenver- kehrs- und Schiffahrtsamtes St. Gallen). Berücksichtigt man jedoch die von Y._____ während des Anhaltevorgangs zurückgelegte Strecke, so erhellt, dass eine Kollision bereits bei der für den Berufungskläger ungünstigeren Annahme von einer Sichtdistanz von 60 m hätte verhindert werden können. Insofern wäre dem Berufungskläger das Anhalten hinter dem Fahrzeug von Y._____ möglich gewe- sen, hätte er statt zu überholen sofort gebremst. Unter diesem Aspekt kann dem Berufungskläger keine Verletzung von Art. 32 Abs. 1 SVG vorgeworfen werden. Hingegen vermag der Berufungskläger aus der Regel des „halben Tachos“ (vgl. BGE 131 IV 133 E. 3.1; Regel bestätigt im Urteil des Bundesgerichts 6B_355/2012</w:t>
      </w:r>
    </w:p>
    <w:p>
      <w:r>
        <w:t>Seite 16 — 21 E. 3.3 und 3.4 vom 28. September 2013) nichts zu seinen Gunsten abzuleiten. Diese Regel gelangt als Faustregel dann zur Anwendung, wenn es um die Fest- stellung des genügenden Abstandes bei hintereinanderfahrenden Fahrzeugen geht (vgl. Art. 34 Abs. 4). Vorliegend näherte sich der Berufungskläger dem Fahr- zeug von Y._____ mit einer deutlich höheren Geschwindigkeit, weswegen die vor- genannte Rechtsprechung nach Sinn und Zweck keine Anwendung finden kann. 6.a. Die Vorinstanz sieht den Verstoss gegen Art. 32 Abs. 1 SVG ferner darin, dass sich der Berufungskläger in einer unklaren Verkehrssituation befunden habe (Überlandstrecke bei Dunkelheit, Fahrzeug ohne Beleuchtung und mit einer Ge- schwindigkeit von 20 - 30 km/h unterwegs) und verpflichtet gewesen wäre, seine ohnehin nicht situationsangepasste Geschwindigkeit markant zu reduzieren. Statt- dessen habe der Berufungskläger - wie dieser selbst ausgeführt habe - seine Ge- schwindigkeit beinahe unvermindert beibehalten, womit auch diesbezüglich ein Verstoss gegen Art. 32 Abs. 1 SVG vorliege. b. Nach dem aus der Grundregel von Art. 26 Abs. 1 SVG abgeleiteten Ver- trauensgrundsatz darf jeder Strassenbenützer darauf vertrauen, dass sich die an- deren Verkehrsteilnehmer ordnungsgemäss verhalten. Ein solches Vertrauen ist jedoch nicht gerechtfertigt, wenn Anzeichen dafür bestehen, dass sich ein Stras- senbenützer nicht richtig verhalten wird (Art. 26 Abs. 2 SVG) oder wenn ein Fehl- verhalten eines anderen Verkehrsteilnehmers auf Grund einer unklaren Verkehrs- situation nach der allgemeinen Erfahrung unmittelbar in die Nähe rückt. In solchen Situationen liegen zwar keine konkreten Anzeichen für unrichtiges Verhalten vor, doch ist angesichts ihrer besonderen Gefahrenträchtigkeit risikoarmes Verhalten gefordert (BGE 125 IV 83 S. 88 E. 2a mit Hinweisen). c. Die Vorinstanz legte ihrem Freispruch vom Vorwurf der Verletzung von Art. 35 Abs. 5 SVG die Erwägung zugrunde, wonach für den Berufungskläger keine Anzeichen dafür bestanden hätten, dass das vor ihm befindliche Auto nach links abzweigen würde. So sei beispielsweise die kleine Nebenstrasse, in welche Y._____ abzubiegen beabsichtigt habe, von weitem gar nicht sichtbar gewesen; auch die weiteren Umstände (Rücklichter brennten nicht, Fahrzeuggeschwindig- keit von 20 - 30 km/h) hätten nicht auf ein Abbiegemanöver der Y._____ hinge- deutet (vgl. act. 3, S. 10). Inwiefern sich dies nun bezüglich des Vorwurfs der Ver- kehrsregelverletzung nach Art. 32 Abs. 1 SVG anders verhalten sollte, ist nicht ersichtlich. Die Vorinstanz hat dem Berufungskläger das Überholmanöver zuge- standen und hat damit zum Ausdruck gebracht, dass eben keine unklare Ver-</w:t>
      </w:r>
    </w:p>
    <w:p>
      <w:r>
        <w:t>Seite 17 — 21 kehrssituation vorlag; andererseits hätte die Vorinstanz bereits hier risikoarmes Verhalten fordern müssen, was in einer derartigen Situation einzig bedeuten konn- te, dass mit einem Überholmanöver hätte zugewartet werden müssen. Ein Frei- spruch vom Vorwurf der Verletzung von Art. 35 Abs. 5 SVG hätte diesfalls nicht erfolgten dürfen. Die vorinstanzlichen Erwägungen (act. 3, S. 12 f.) betreffend „un- klare Verkehrssituation“ haben durchaus etwas für sich, dennoch hat das Kan- tonsgericht von Graubünden mangels Anfechtung der vorgenannten vorinstanzli- chen Ausführungen sowie aufgrund des Freispruchs davon auszugehen, dass keine unklare Verkehrssituation bestand. Zudem trifft es nicht zu, dass der Beru- fungskläger mit unverminderter Geschwindigkeit weiterfuhr, als er das Fahrzeug von Y._____ erblickte; er habe kurz die Bremse betätigt und erst dann überholt (vgl. act. 3.7; Einvernahmeprotokoll, Frage 7 zur Sache). Mit welcher Geschwin- digkeit es schlussendlich zum Zusammenstoss kam, kann nicht mehr nachvollzo- gen werden. Aufgrund des Gesagten kann dem Berufungskläger jedoch auch un- ter diesem Gesichtspunkt kein Vorwurf gemäss Art. 32 Abs. 1 SVG gemacht wer- den, womit er die Verkehrsregel nach Art. 32 Abs. 1 SVG nicht verletzt hat. Kommt hinzu, dass insofern, als ein Fahrzeuglenker in einer bestimmten Situation von mehreren Möglichkeiten (hier: auf der rechten Fahrspur abbremsen oder - was ausdrücklich zugestanden wurde - links überholen) jene wählt, die unglücklicher- weise zufolge eines Fahrfehlers eines anderen Verkehrsteilnehmers (gemäss ver- bindlicher Feststellung der Vorinstanz) zu einem Unfall führt, ihm dies nicht ange- lastet werden darf (vgl. BGE 103 IV 101).</w:t>
      </w:r>
    </w:p>
    <w:p>
      <w:r>
        <w:rPr>
          <w:b/>
        </w:rPr>
        <w:t>E. 2</w:t>
      </w:r>
    </w:p>
    <w:p>
      <w:r>
        <w:t>Dafür sei er mit einer Geldstrafe von 20 Tagessätzen zu je CHF 50.00, bedingt aufgeschoben bei einer Probezeit von 2 Jahren, und einer Busse von CHF 800.00, ersatzweise mit einer Freiheitsstrafe von 16 Tagen, zu bestrafen.</w:t>
      </w:r>
    </w:p>
    <w:p>
      <w:r>
        <w:rPr>
          <w:b/>
        </w:rPr>
        <w:t>E. 3</w:t>
      </w:r>
    </w:p>
    <w:p>
      <w:r>
        <w:t>Die Adhäsionsklage von Y._____ wird auf den Zivilweg verwiesen.</w:t>
      </w:r>
    </w:p>
    <w:p>
      <w:r>
        <w:rPr>
          <w:b/>
        </w:rPr>
        <w:t>E. 4</w:t>
      </w:r>
    </w:p>
    <w:p>
      <w:r>
        <w:t>Die Verfahrenskosten, bestehend aus: - der Untersuchungsgebühr der Staatsanwaltschaft Graubünden CHF 2‘400.00</w:t>
      </w:r>
    </w:p>
    <w:p>
      <w:r>
        <w:t>Seite 5 — 21 - den Auslagen der Staatsanwaltschaft Graubünden CHF 476.00 - der Gerichtsgebühr des Bezirksgerichts O.2_____ (ohne Begründung) CHF 2‘000.00 total somit CHF 4‘876.00 werden vollumfänglich dem Verurteilten auferlegt, welchem keine Pro- zessentschädigung ausgerichtet wird. Die Voraussetzungen von Art. 82 Abs. 1 StPO sind erfüllt und das Ge- richt verzichtet auf eine schriftliche Begründung des Urteils. Wird innert 10 Tagen nach Zustellung des Dispositivs ein begründetes Urteil ver- langt oder ein Rechtsmittel erhoben (vgl. Art. 82 Abs. 2 StPO), wird die Gerichtsgebühr um CHF 1‘000.00 erhöht (vgl. Art. 6 VGS; BR 350.210). Die Verfahrenskosten zu Lasten des Verurteilten belaufen sich in die- sem Fall auf CHF 5‘876.00.</w:t>
      </w:r>
    </w:p>
    <w:p>
      <w:r>
        <w:rPr>
          <w:b/>
        </w:rPr>
        <w:t>E. 5</w:t>
      </w:r>
    </w:p>
    <w:p>
      <w:r>
        <w:t>(Rechtsmittelbelehrung 1)</w:t>
      </w:r>
    </w:p>
    <w:p>
      <w:r>
        <w:rPr>
          <w:b/>
        </w:rPr>
        <w:t>E. 6</w:t>
      </w:r>
    </w:p>
    <w:p>
      <w:r>
        <w:t>(Erneuter Hinweis auf Art. 82 StPO)</w:t>
      </w:r>
    </w:p>
    <w:p>
      <w:r>
        <w:rPr>
          <w:b/>
        </w:rPr>
        <w:t>E. 7</w:t>
      </w:r>
    </w:p>
    <w:p>
      <w:r>
        <w:t>Wer fahrlässig einen Menschen am Körper oder an der Gesundheit schä- digt, wird, auf Antrag, mit Freiheitsstrafe bis zu drei Jahren oder Geldstrafe be- straft (Art. 125 Abs. 1 StGB). Fahrlässigkeit ist gegeben, wenn die Tat darauf zurückzuführen ist, dass der Täter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 pflichtet ist (Art. 12 Abs. 3 StGB). Die Annahme der Fahrlässigkeit setzt die Verlet- zung einer Sorgfaltspflicht voraus. Sorgfaltswidrig ist eine Handlungsweise dann, wenn der Täter zum Zeitpunkt der Tat aufgrund seiner Kenntnisse und Fähigkeiten die damit bewirkte Gefährdung des Opfers hätte erkennen können und wenn er zugleich die Grenzen des erlaubten Risikos überschritt. Bei der Bestimmung des im Einzelfall zugrunde zu legenden Massstabs des sorgfaltsgemässen Verhaltens kann auf Bestimmungen zurückgegriffen werden, die der Unfallverhütung und der Sicherheit dienen (BGE 122 IV 225 S. 227 E. 2.a). Im hier zu beurteilenden Fall</w:t>
      </w:r>
    </w:p>
    <w:p>
      <w:r>
        <w:t>Seite 18 — 21 sind die Bestimmungen des Strassenverkehrsrechts heranzuziehen (vgl. Niggli/ Maeder, in: Niggli/ Wiprächtiger [Hrsg.], Basler Kommentar zum Strafrecht I, Basel 2013, N 111 zu Art. 12 StGB; Trechsel/ Jean-Richard-dit-Bressel, in: Schweizeri- sches Strafgesetzbuch, Praxiskommentar, Zürich/St. Gallen 2008, N 30 zu Art. 12 StGB). Dem Berufungskläger kann - wie in den vorstehenden Erwägungen ausge- führt - rechtsgenüglich kein Fehlverhalten nach SVG angelastet werden, so dass auch die Frage betreffend fahrlässige Körperverletzung gemäss Art. 125 Abs. 1 StGB nicht weiter zu prüfen ist.</w:t>
      </w:r>
    </w:p>
    <w:p>
      <w:r>
        <w:rPr>
          <w:b/>
        </w:rPr>
        <w:t>E. 8</w:t>
      </w:r>
    </w:p>
    <w:p>
      <w:r>
        <w:t>Aus dem Gesagten erhellt, dass die Vorinstanz den Berufungskläger zu Unrecht der fahrlässigen Körperverletzung nach Art. 125 Abs. 1 StGB und der Verletzung der Verkehrsregeln nach Art. 32 Abs. 1 SVG in Verbindung mit Art. 90 Ziff. 1 SVG schuldig gesprochen hat. Das vorinstanzliche Urteil erweist sich somit als rechtsfehlerhaft und die Berufung von X._____ daher als begründet. Der Berufungskläger ist von Schuld und Strafe freizusprechen. Unter diesen Umständen hat er weder die Kosten der Strafuntersuchung (Untersuchungsgebühr und Auslagen) noch diejenigen der Vorinstanz und des Berufungsverfahrens zu tragen (Art. 426 Abs. 1 e contrario und Art. 428 Abs. 1 in Verbindung mit Art. 428 Abs. 3 StPO). 9.a. Gemäss Art. 429 Abs. 1 lit. a StPO hat die freigesprochene Person An- spruch auf Entschädigung ihrer Aufwendungen für die angemessene Ausübung ihrer Verfahrensrechte. Dasselbe gilt kraft Verweisung in Art. 436 Abs. 1 StPO für das Rechtsmittelverfahren. Eine Entschädigung ist vor allem dann auszurichten, wenn die beschuldigte Person durch einen Wahlverteidiger vertreten wurde. Die Höhe der Entschädigung bemisst sich nach dem Zeitaufwand, den der Verteidiger für die Verteidigung der beschuldigten Person aufwenden musste. Zu beachten ist die kantonale Gesetzgebung zu den Anwaltstarifen. Im Kanton Graubünden wird die Parteientschädigung gemäss der gestützt auf Art. 19 des Anwaltsgesetzes vom 14. Februar 2006 (AG; BR 310.100) erlassenen Verordnung über die Bemes- sung des Honorars der Rechtsanwältinnen und Rechtsanwälte vom 17. März 2009 (HV; BR 310.250) näher konkretisiert. Gemäss Art. 2 Abs. 1 HV setzt die urteilen- de Instanz die Parteientschädigung der obsiegenden Partei nach Ermessen fest. Sie geht vom Betrag aus, welcher der entschädigungsberechtigten Partei für die anwaltliche Vertretung in Rechnung gestellt wird, sofern der vereinbarte Stunden- ansatz zuzüglich allfällig vereinbartem Interessenwertzuschlag üblich ist und keine Erfolgszuschläge enthält (Art. 2 Abs. 2 Ziff. 1 HV). Als üblich gilt dabei ein Stun- denansatz zwischen Fr. 210.00 und Fr. 270.00 (Art. 3 Abs. 1 HV). Vorausgesetzt</w:t>
      </w:r>
    </w:p>
    <w:p>
      <w:r>
        <w:t>Seite 19 — 21 wird alsdann, dass der geltend gemachte Aufwand angemessen und für die Pro- zessführung erforderlich war (Art. 2 Abs. 2 Ziff. 2 HV). Aus den vorgenannten Be- stimmungen folgt demnach, dass die Bemessung des sachgerechten Aufwands auf einer individuellen Würdigung zu beruhen hat, bei welcher dem Gericht ein erheblicher Ermessensspielraum zukommt. Hat der Verteidiger eine detaillierte Kostennote eingereicht, so ergibt sich aus dem in Art. 29 Abs. 2 BV statuierten Anspruch auf rechtliches Gehör, dass das Strafgericht, wenn es diese nicht tel quel übernimmt, wenigstens kurz in nachvollziehbarer Weise zu begründen hat, weshalb es welche der in Rechnung gestellten Aufwandspositionen für übersetzt hält (Urteil des BGer 6B_136/2009 vom 12. Mai 2009 E. 2.3 sowie 5D_178/2012 vom 14. Juni 2013 E. 2.3.3 in SJZ 109 (2013), S. 388 ff.). b. Anlässlich der Hauptverhandlung vor dem Bezirksgericht O.2_____ vom 29. Mai 2013 reichte Rechtsanwalt lic. iur. Adrian Scarpatetti eine Kostennote ein, in welcher er einen Aufwand von insgesamt 21.25 Stunden à CHF 240.00 geltend machte, sowie Pauschalspesen, besondere Spesen und Barauslagen von insge- samt CHF 267.00. Zuzüglich der Mehrwertsteuer von 8 % ergibt sich daher ein Rechnungsbetrag von CHF 5‘796.30. Dies erscheint als angemessen, weshalb der Bezirk O.2_____ den Berufungskläger mit CHF 5‘796.30 zu entschädigen hat. c. Anlässlich der Hauptverhandlung vor dem Kantonsgericht von Graubünden vom 30. Oktober 2013 reichte Rechtsanwalt lic. iur. Adrian Scarpatetti eine Kos- tennote betreffend das Berufungsverfahren ein (12.5 Stunden à CHF 240.00 zu- züglich Spesen und MWST, ausmachend CHF 3‘408.40). Darin macht dieser un- ter anderem für die „Hauptverhandlung in O.1_____ (Fahrt O.2_____-O.1_____ retour)“ einen zeitlichen Aufwand von 2 Stunden und 30 Minuten geltend. Wie dem Verhandlungsprotokoll zu entnehmen ist, dauerte die Verhandlung rund eine Stunde; für die Fahrt von O.2_____ nach O.1_____ und retour erscheint ein Zeitaufwand von 30 Minuten als angemessen. Die vorgenannte Position ist daher um 1 Stunde zu kürzen. Ferner macht der Rechtsvertreter des Berufungsklägers unter den Positionen „Beginn Plädoyer, Abstandsberechnungen etc.“ und „Be- sprechung mit Klient, Fertigstellung Plädoyer“ einen zeitlichen Aufwand von insge- samt 7 Stunden und 50 Minuten geltend. In Anbetracht dessen, dass gemäss Kos- tennote am 11. Juli 2013 bereits eine einstündige Besprechung zwischen dem Berufungskläger und seinem Rechtsvertreter stattfand, dürfte die Besprechung vom 29. Oktober 2013 eine halbe Stunde (kurze Erläuterung der rechtlichen Aus- führungen im Plädoyer, Instruktionen Ablauf Hauptverhandlung) nicht überschrit- ten haben; entsprechend steht der weitere Aufwand von 7 Stunden und 20 Minu-</w:t>
      </w:r>
    </w:p>
    <w:p>
      <w:r>
        <w:t>Seite 20 — 21 ten in Zusammenhang mit der Ausarbeitung des Plädoyers. Dieser erscheint in Anbetracht dessen, dass sich Rechtsanwalt lic. iur. Adrian Scarpatetti hauptsäch- lich mit dem Vorwurf nach Art. 32 Abs. 1 SVG und den entsprechenden Anhalte- wegberechnungen auseinanderzusetzen hatte, als zu hoch. Bezüglich der einlei- tenden Bemerkungen (Bemerkungen zum Freispruch, Darstellung des rechtser- heblichen Sachverhaltens) dürfte nicht viel Zeitaufwand angefallen sein; ebenso wenig wie für die Ausführungen bezüglich der Verletzung des Anklageprinzips, da solche bereits vor der Vorinstanz vorgebracht wurden. Mithin erscheint ein Auf- wand von 5 Stunden und 30 Minuten als angemessen. Die übrigen geltend ge- machten Positionen sind nicht zu beanstanden. Das verbleibende und vom Kanton Graubünden zugunsten des Berufungsklägers zu entschädigende Honorar beträgt damit rund CHF 2‘500.00 (9 Stunden und 10 Minuten à 240.00, zuzüglich 5 % Pauschalspesen und CHF 6.00 Fahrtspesen O.1_____ retour, plus hiervon 8 % Mehrwertsteuer).</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